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CCD59" w14:textId="77777777" w:rsidR="0042783A" w:rsidRDefault="523849D8">
      <w:pPr>
        <w:spacing w:after="40"/>
      </w:pPr>
      <w:r w:rsidRPr="523849D8">
        <w:rPr>
          <w:b/>
          <w:bCs/>
          <w:color w:val="1F3864"/>
          <w:sz w:val="40"/>
          <w:szCs w:val="40"/>
        </w:rPr>
        <w:t>Microsoft 365 Copilot Cowork</w:t>
      </w:r>
    </w:p>
    <w:p w14:paraId="3DBC2C22" w14:textId="77777777" w:rsidR="0042783A" w:rsidRDefault="005C4193">
      <w:pPr>
        <w:pBdr>
          <w:bottom w:val="single" w:sz="12" w:space="6" w:color="2E75B6"/>
        </w:pBdr>
        <w:spacing w:after="120"/>
      </w:pPr>
      <w:r>
        <w:rPr>
          <w:color w:val="2E75B6"/>
          <w:sz w:val="26"/>
          <w:szCs w:val="26"/>
        </w:rPr>
        <w:t>Billing &amp; Cost Management — A Customer Guide</w:t>
      </w:r>
    </w:p>
    <w:p w14:paraId="7FC29ABF" w14:textId="77777777" w:rsidR="0042783A" w:rsidRDefault="523849D8">
      <w:pPr>
        <w:spacing w:after="240"/>
      </w:pPr>
      <w:r w:rsidRPr="523849D8">
        <w:rPr>
          <w:color w:val="595959"/>
        </w:rPr>
        <w:t>Copilot Cowork introduces usage-based billing alongside your existing Microsoft 365 Copilot subscription. This guide answers the most common questions about how Cowork is priced, when charges begin, and how your organization stays in control of cost.</w:t>
      </w:r>
    </w:p>
    <w:p w14:paraId="360AB1D6" w14:textId="77777777" w:rsidR="0042783A" w:rsidRDefault="005C4193">
      <w:pPr>
        <w:pStyle w:val="heading10"/>
      </w:pPr>
      <w:r>
        <w:t>1. The two-layer cost model</w:t>
      </w:r>
    </w:p>
    <w:p w14:paraId="25BDA55E" w14:textId="77777777" w:rsidR="0042783A" w:rsidRDefault="005C4193">
      <w:pPr>
        <w:spacing w:after="160"/>
      </w:pPr>
      <w:r>
        <w:rPr>
          <w:color w:val="000000"/>
        </w:rPr>
        <w:t>Your Copilot bill has two distinct parts. Understanding the difference is the foundation for everything else:</w:t>
      </w:r>
    </w:p>
    <w:tbl>
      <w:tblPr>
        <w:tblW w:w="936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760"/>
      </w:tblGrid>
      <w:tr w:rsidR="0042783A" w14:paraId="5073ED4F" w14:textId="77777777" w:rsidTr="523849D8">
        <w:tblPrEx>
          <w:tblCellMar>
            <w:top w:w="0" w:type="dxa"/>
            <w:bottom w:w="0" w:type="dxa"/>
          </w:tblCellMar>
        </w:tblPrEx>
        <w:trPr>
          <w:tblHeader/>
        </w:trPr>
        <w:tc>
          <w:tcPr>
            <w:tcW w:w="2600" w:type="dxa"/>
            <w:tcBorders>
              <w:top w:val="single" w:sz="1" w:space="0" w:color="BFBFBF"/>
              <w:left w:val="single" w:sz="1" w:space="0" w:color="BFBFBF"/>
              <w:bottom w:val="single" w:sz="1" w:space="0" w:color="BFBFBF"/>
              <w:right w:val="single" w:sz="1" w:space="0" w:color="BFBFBF"/>
            </w:tcBorders>
            <w:shd w:val="clear" w:color="auto" w:fill="1F3864"/>
            <w:tcMar>
              <w:top w:w="90" w:type="dxa"/>
              <w:left w:w="140" w:type="dxa"/>
              <w:bottom w:w="90" w:type="dxa"/>
              <w:right w:w="140" w:type="dxa"/>
            </w:tcMar>
            <w:vAlign w:val="center"/>
          </w:tcPr>
          <w:p w14:paraId="124D9E1E" w14:textId="77777777" w:rsidR="0042783A" w:rsidRDefault="005C4193">
            <w:r>
              <w:rPr>
                <w:b/>
                <w:bCs/>
                <w:color w:val="FFFFFF"/>
                <w:sz w:val="20"/>
                <w:szCs w:val="20"/>
              </w:rPr>
              <w:t>Cost layer</w:t>
            </w:r>
          </w:p>
        </w:tc>
        <w:tc>
          <w:tcPr>
            <w:tcW w:w="6760" w:type="dxa"/>
            <w:tcBorders>
              <w:top w:val="single" w:sz="1" w:space="0" w:color="BFBFBF"/>
              <w:left w:val="single" w:sz="1" w:space="0" w:color="BFBFBF"/>
              <w:bottom w:val="single" w:sz="1" w:space="0" w:color="BFBFBF"/>
              <w:right w:val="single" w:sz="1" w:space="0" w:color="BFBFBF"/>
            </w:tcBorders>
            <w:shd w:val="clear" w:color="auto" w:fill="1F3864"/>
            <w:tcMar>
              <w:top w:w="90" w:type="dxa"/>
              <w:left w:w="140" w:type="dxa"/>
              <w:bottom w:w="90" w:type="dxa"/>
              <w:right w:w="140" w:type="dxa"/>
            </w:tcMar>
            <w:vAlign w:val="center"/>
          </w:tcPr>
          <w:p w14:paraId="2ECC7C80" w14:textId="77777777" w:rsidR="0042783A" w:rsidRDefault="005C4193">
            <w:r>
              <w:rPr>
                <w:b/>
                <w:bCs/>
                <w:color w:val="FFFFFF"/>
                <w:sz w:val="20"/>
                <w:szCs w:val="20"/>
              </w:rPr>
              <w:t>What it is</w:t>
            </w:r>
          </w:p>
        </w:tc>
      </w:tr>
      <w:tr w:rsidR="0042783A" w14:paraId="08CEC6C2" w14:textId="77777777" w:rsidTr="523849D8">
        <w:tblPrEx>
          <w:tblCellMar>
            <w:top w:w="0" w:type="dxa"/>
            <w:bottom w:w="0" w:type="dxa"/>
          </w:tblCellMar>
        </w:tblPrEx>
        <w:trPr>
          <w:cantSplit/>
        </w:trPr>
        <w:tc>
          <w:tcPr>
            <w:tcW w:w="2600" w:type="dxa"/>
            <w:tcBorders>
              <w:top w:val="single" w:sz="1" w:space="0" w:color="BFBFBF"/>
              <w:left w:val="single" w:sz="1" w:space="0" w:color="BFBFBF"/>
              <w:bottom w:val="single" w:sz="1" w:space="0" w:color="BFBFBF"/>
              <w:right w:val="single" w:sz="1" w:space="0" w:color="BFBFBF"/>
            </w:tcBorders>
            <w:shd w:val="clear" w:color="auto" w:fill="D9E2F3"/>
            <w:tcMar>
              <w:top w:w="90" w:type="dxa"/>
              <w:left w:w="140" w:type="dxa"/>
              <w:bottom w:w="90" w:type="dxa"/>
              <w:right w:w="140" w:type="dxa"/>
            </w:tcMar>
            <w:vAlign w:val="center"/>
          </w:tcPr>
          <w:p w14:paraId="2DDBF723" w14:textId="77777777" w:rsidR="0042783A" w:rsidRDefault="005C4193">
            <w:r>
              <w:rPr>
                <w:b/>
                <w:bCs/>
                <w:sz w:val="20"/>
                <w:szCs w:val="20"/>
              </w:rPr>
              <w:t>Copilot license (per user)</w:t>
            </w:r>
          </w:p>
        </w:tc>
        <w:tc>
          <w:tcPr>
            <w:tcW w:w="6760" w:type="dxa"/>
            <w:tcBorders>
              <w:top w:val="single" w:sz="1" w:space="0" w:color="BFBFBF"/>
              <w:left w:val="single" w:sz="1" w:space="0" w:color="BFBFBF"/>
              <w:bottom w:val="single" w:sz="1" w:space="0" w:color="BFBFBF"/>
              <w:right w:val="single" w:sz="1" w:space="0" w:color="BFBFBF"/>
            </w:tcBorders>
            <w:tcMar>
              <w:top w:w="90" w:type="dxa"/>
              <w:left w:w="140" w:type="dxa"/>
              <w:bottom w:w="90" w:type="dxa"/>
              <w:right w:w="140" w:type="dxa"/>
            </w:tcMar>
            <w:vAlign w:val="center"/>
          </w:tcPr>
          <w:p w14:paraId="68BCCF4E" w14:textId="77777777" w:rsidR="0042783A" w:rsidRDefault="523849D8">
            <w:r w:rsidRPr="523849D8">
              <w:rPr>
                <w:sz w:val="20"/>
                <w:szCs w:val="20"/>
              </w:rPr>
              <w:t>A fixed, per-user monthly subscription (the Microsoft 365 Copilot license). It is the entry point that makes a user eligible to use Cowork — predictable and easy to budget.</w:t>
            </w:r>
          </w:p>
        </w:tc>
      </w:tr>
      <w:tr w:rsidR="0042783A" w14:paraId="0662DC53" w14:textId="77777777" w:rsidTr="523849D8">
        <w:tblPrEx>
          <w:tblCellMar>
            <w:top w:w="0" w:type="dxa"/>
            <w:bottom w:w="0" w:type="dxa"/>
          </w:tblCellMar>
        </w:tblPrEx>
        <w:trPr>
          <w:cantSplit/>
        </w:trPr>
        <w:tc>
          <w:tcPr>
            <w:tcW w:w="2600" w:type="dxa"/>
            <w:tcBorders>
              <w:top w:val="single" w:sz="1" w:space="0" w:color="BFBFBF"/>
              <w:left w:val="single" w:sz="1" w:space="0" w:color="BFBFBF"/>
              <w:bottom w:val="single" w:sz="1" w:space="0" w:color="BFBFBF"/>
              <w:right w:val="single" w:sz="1" w:space="0" w:color="BFBFBF"/>
            </w:tcBorders>
            <w:shd w:val="clear" w:color="auto" w:fill="D9E2F3"/>
            <w:tcMar>
              <w:top w:w="90" w:type="dxa"/>
              <w:left w:w="140" w:type="dxa"/>
              <w:bottom w:w="90" w:type="dxa"/>
              <w:right w:w="140" w:type="dxa"/>
            </w:tcMar>
            <w:vAlign w:val="center"/>
          </w:tcPr>
          <w:p w14:paraId="083505B5" w14:textId="77777777" w:rsidR="0042783A" w:rsidRDefault="005C4193">
            <w:r>
              <w:rPr>
                <w:b/>
                <w:bCs/>
                <w:sz w:val="20"/>
                <w:szCs w:val="20"/>
              </w:rPr>
              <w:t>Copilot Credits (per use)</w:t>
            </w:r>
          </w:p>
        </w:tc>
        <w:tc>
          <w:tcPr>
            <w:tcW w:w="6760" w:type="dxa"/>
            <w:tcBorders>
              <w:top w:val="single" w:sz="1" w:space="0" w:color="BFBFBF"/>
              <w:left w:val="single" w:sz="1" w:space="0" w:color="BFBFBF"/>
              <w:bottom w:val="single" w:sz="1" w:space="0" w:color="BFBFBF"/>
              <w:right w:val="single" w:sz="1" w:space="0" w:color="BFBFBF"/>
            </w:tcBorders>
            <w:tcMar>
              <w:top w:w="90" w:type="dxa"/>
              <w:left w:w="140" w:type="dxa"/>
              <w:bottom w:w="90" w:type="dxa"/>
              <w:right w:w="140" w:type="dxa"/>
            </w:tcMar>
            <w:vAlign w:val="center"/>
          </w:tcPr>
          <w:p w14:paraId="63297D91" w14:textId="77777777" w:rsidR="0042783A" w:rsidRDefault="523849D8">
            <w:r w:rsidRPr="523849D8">
              <w:rPr>
                <w:sz w:val="20"/>
                <w:szCs w:val="20"/>
              </w:rPr>
              <w:t>A usage meter. Credits are consumed only when Cowork actually performs work for a user. Variable and based on real consumption — this is the part covered by usage-based billing.</w:t>
            </w:r>
          </w:p>
        </w:tc>
      </w:tr>
    </w:tbl>
    <w:p w14:paraId="2A209F47" w14:textId="77777777" w:rsidR="0042783A" w:rsidRDefault="005C4193">
      <w:pPr>
        <w:spacing w:before="120" w:after="240"/>
      </w:pPr>
      <w:r>
        <w:rPr>
          <w:i/>
          <w:iCs/>
          <w:color w:val="1F3864"/>
        </w:rPr>
        <w:t>In short: the license is access; credits are usage.</w:t>
      </w:r>
    </w:p>
    <w:p w14:paraId="065B875B" w14:textId="77777777" w:rsidR="0042783A" w:rsidRDefault="523849D8">
      <w:pPr>
        <w:pStyle w:val="heading10"/>
      </w:pPr>
      <w:r w:rsidRPr="523849D8">
        <w:t>2. If we turn on Cowork or click “Get started,” do charges begin immediately?</w:t>
      </w:r>
    </w:p>
    <w:p w14:paraId="35CE4507" w14:textId="77777777" w:rsidR="0042783A" w:rsidRDefault="005C4193">
      <w:pPr>
        <w:spacing w:after="160"/>
      </w:pPr>
      <w:r>
        <w:rPr>
          <w:b/>
          <w:bCs/>
          <w:color w:val="000000"/>
        </w:rPr>
        <w:t>No. Clicking “Get started” launches the setup experience — it does not start the meter.</w:t>
      </w:r>
    </w:p>
    <w:p w14:paraId="2E8ED2AC" w14:textId="77777777" w:rsidR="0042783A" w:rsidRDefault="523849D8">
      <w:pPr>
        <w:spacing w:after="160"/>
      </w:pPr>
      <w:r w:rsidRPr="523849D8">
        <w:rPr>
          <w:color w:val="000000"/>
        </w:rPr>
        <w:t>Cowork is turned off by default. Charges only begin once both of the following are true:</w:t>
      </w:r>
    </w:p>
    <w:p w14:paraId="0FC333D8" w14:textId="77777777" w:rsidR="0042783A" w:rsidRDefault="005C4193">
      <w:pPr>
        <w:pStyle w:val="ListParagraph"/>
        <w:numPr>
          <w:ilvl w:val="0"/>
          <w:numId w:val="2"/>
        </w:numPr>
        <w:spacing w:after="90"/>
      </w:pPr>
      <w:r>
        <w:rPr>
          <w:b/>
          <w:bCs/>
        </w:rPr>
        <w:t xml:space="preserve">An admin opts in — </w:t>
      </w:r>
      <w:r>
        <w:t>usage-based billing has been enabled and configured by an administrator, and</w:t>
      </w:r>
    </w:p>
    <w:p w14:paraId="351F0ED5" w14:textId="77777777" w:rsidR="0042783A" w:rsidRDefault="523849D8">
      <w:pPr>
        <w:pStyle w:val="ListParagraph"/>
        <w:numPr>
          <w:ilvl w:val="0"/>
          <w:numId w:val="2"/>
        </w:numPr>
        <w:spacing w:after="90"/>
      </w:pPr>
      <w:r w:rsidRPr="523849D8">
        <w:rPr>
          <w:b/>
          <w:bCs/>
        </w:rPr>
        <w:t xml:space="preserve">Real usage occurs — </w:t>
      </w:r>
      <w:r w:rsidRPr="523849D8">
        <w:t>a user actually runs a Cowork task that consumes credits.</w:t>
      </w:r>
    </w:p>
    <w:p w14:paraId="5E450572" w14:textId="77777777" w:rsidR="0042783A" w:rsidRDefault="005C4193">
      <w:pPr>
        <w:spacing w:before="100" w:after="240"/>
      </w:pPr>
      <w:r>
        <w:rPr>
          <w:color w:val="000000"/>
        </w:rPr>
        <w:t>During setup, administrators define spending limits before anyone can run a task. Nothing is billed simply by exploring the Cost Management page or starting the configuration flow.</w:t>
      </w:r>
    </w:p>
    <w:p w14:paraId="4B65924C" w14:textId="77777777" w:rsidR="0042783A" w:rsidRDefault="523849D8">
      <w:pPr>
        <w:pStyle w:val="heading10"/>
      </w:pPr>
      <w:r w:rsidRPr="523849D8">
        <w:t>3. If a user already has a Copilot license, is their Cowork usage free?</w:t>
      </w:r>
    </w:p>
    <w:p w14:paraId="6F32EE0D" w14:textId="77777777" w:rsidR="0042783A" w:rsidRDefault="523849D8">
      <w:pPr>
        <w:spacing w:after="160"/>
      </w:pPr>
      <w:r w:rsidRPr="523849D8">
        <w:rPr>
          <w:b/>
          <w:bCs/>
          <w:color w:val="000000"/>
        </w:rPr>
        <w:t>No. A Copilot license is required to use Cowork, but it does not make Cowork usage free.</w:t>
      </w:r>
    </w:p>
    <w:p w14:paraId="7144F988" w14:textId="77777777" w:rsidR="0042783A" w:rsidRDefault="523849D8">
      <w:pPr>
        <w:spacing w:after="160"/>
      </w:pPr>
      <w:r w:rsidRPr="523849D8">
        <w:rPr>
          <w:color w:val="000000"/>
        </w:rPr>
        <w:t>The license is the entry ticket; every Cowork task still meters Copilot Credits. A licensed user running Cowork tasks consumes credits the same as anyone else — the license determines who is eligible, not how much usage is included.</w:t>
      </w:r>
    </w:p>
    <w:p w14:paraId="672A6659" w14:textId="77777777" w:rsidR="0042783A" w:rsidRDefault="0042783A">
      <w:pPr>
        <w:spacing w:after="120"/>
      </w:pPr>
    </w:p>
    <w:p w14:paraId="7B9225A4" w14:textId="77777777" w:rsidR="0042783A" w:rsidRDefault="005C4193">
      <w:pPr>
        <w:pStyle w:val="heading10"/>
      </w:pPr>
      <w:r>
        <w:t>4. Do credits come with the license? What happens when we run out?</w:t>
      </w:r>
    </w:p>
    <w:p w14:paraId="39A3BC1F" w14:textId="77777777" w:rsidR="0042783A" w:rsidRDefault="523849D8">
      <w:pPr>
        <w:spacing w:after="160"/>
      </w:pPr>
      <w:r w:rsidRPr="523849D8">
        <w:rPr>
          <w:b/>
          <w:bCs/>
          <w:color w:val="000000"/>
        </w:rPr>
        <w:t>The license does not include a usable pool of Cowork credits.</w:t>
      </w:r>
    </w:p>
    <w:p w14:paraId="3A458A9D" w14:textId="77777777" w:rsidR="0042783A" w:rsidRDefault="005C4193">
      <w:pPr>
        <w:spacing w:after="160"/>
      </w:pPr>
      <w:r>
        <w:rPr>
          <w:color w:val="000000"/>
        </w:rPr>
        <w:t>Credits are acquired separately — either pay-as-you-go or prepaid (see Section 5). Administrators set spending caps that govern how much each user, group, or the tenant can consume.</w:t>
      </w:r>
    </w:p>
    <w:p w14:paraId="0B8A7E1F" w14:textId="77777777" w:rsidR="0042783A" w:rsidRDefault="005C4193">
      <w:pPr>
        <w:spacing w:after="100"/>
      </w:pPr>
      <w:r>
        <w:rPr>
          <w:b/>
          <w:bCs/>
          <w:color w:val="000000"/>
        </w:rPr>
        <w:t>When a spending cap is reached:</w:t>
      </w:r>
    </w:p>
    <w:p w14:paraId="5E4159ED" w14:textId="77777777" w:rsidR="0042783A" w:rsidRDefault="523849D8">
      <w:pPr>
        <w:pStyle w:val="ListParagraph"/>
        <w:numPr>
          <w:ilvl w:val="0"/>
          <w:numId w:val="2"/>
        </w:numPr>
        <w:spacing w:after="90"/>
      </w:pPr>
      <w:r w:rsidRPr="523849D8">
        <w:rPr>
          <w:b/>
          <w:bCs/>
        </w:rPr>
        <w:t xml:space="preserve">Service pauses — </w:t>
      </w:r>
      <w:r w:rsidRPr="523849D8">
        <w:t>metered Cowork service pauses for that user or group until the start of the next month, when the cycle resets.</w:t>
      </w:r>
    </w:p>
    <w:p w14:paraId="7C28E5B9" w14:textId="77777777" w:rsidR="0042783A" w:rsidRDefault="523849D8">
      <w:pPr>
        <w:pStyle w:val="ListParagraph"/>
        <w:numPr>
          <w:ilvl w:val="0"/>
          <w:numId w:val="2"/>
        </w:numPr>
        <w:spacing w:after="90"/>
      </w:pPr>
      <w:r w:rsidRPr="523849D8">
        <w:rPr>
          <w:b/>
          <w:bCs/>
        </w:rPr>
        <w:t xml:space="preserve">Request more — </w:t>
      </w:r>
      <w:r w:rsidRPr="523849D8">
        <w:t>a user can request additional credits from inside the experience, which an administrator reviews and approves — so they aren’t simply stuck mid-task.</w:t>
      </w:r>
    </w:p>
    <w:p w14:paraId="4E5A3A81" w14:textId="77777777" w:rsidR="0042783A" w:rsidRDefault="005C4193">
      <w:pPr>
        <w:pStyle w:val="ListParagraph"/>
        <w:numPr>
          <w:ilvl w:val="0"/>
          <w:numId w:val="2"/>
        </w:numPr>
        <w:spacing w:after="90"/>
      </w:pPr>
      <w:r>
        <w:rPr>
          <w:b/>
          <w:bCs/>
        </w:rPr>
        <w:t xml:space="preserve">Early warning — </w:t>
      </w:r>
      <w:r>
        <w:t>administrators can set alerts that fire before a cap is reached, giving finance and IT time to react.</w:t>
      </w:r>
    </w:p>
    <w:p w14:paraId="056E7F9E" w14:textId="77777777" w:rsidR="0042783A" w:rsidRDefault="005C4193">
      <w:pPr>
        <w:spacing w:before="100" w:after="240"/>
      </w:pPr>
      <w:r>
        <w:rPr>
          <w:i/>
          <w:iCs/>
          <w:color w:val="1F3864"/>
        </w:rPr>
        <w:t>The result is a controlled stop, not a surprise bill.</w:t>
      </w:r>
    </w:p>
    <w:p w14:paraId="3E66B4BE" w14:textId="77777777" w:rsidR="0042783A" w:rsidRDefault="005C4193">
      <w:pPr>
        <w:pStyle w:val="heading10"/>
      </w:pPr>
      <w:r>
        <w:t>5. How does pay-as-you-go billing work?</w:t>
      </w:r>
    </w:p>
    <w:p w14:paraId="3F058E1A" w14:textId="77777777" w:rsidR="0042783A" w:rsidRDefault="523849D8">
      <w:pPr>
        <w:spacing w:after="160"/>
      </w:pPr>
      <w:r w:rsidRPr="523849D8">
        <w:rPr>
          <w:b/>
          <w:bCs/>
          <w:color w:val="000000"/>
        </w:rPr>
        <w:t>Pay-as-you-go is billed monthly, in arrears, through an Azure subscription — you pay for what you actually consumed, with no upfront commitment.</w:t>
      </w:r>
    </w:p>
    <w:p w14:paraId="0AC9C57F" w14:textId="77777777" w:rsidR="0042783A" w:rsidRDefault="523849D8">
      <w:pPr>
        <w:pStyle w:val="ListParagraph"/>
        <w:numPr>
          <w:ilvl w:val="0"/>
          <w:numId w:val="2"/>
        </w:numPr>
        <w:spacing w:after="90"/>
      </w:pPr>
      <w:r w:rsidRPr="523849D8">
        <w:rPr>
          <w:b/>
          <w:bCs/>
        </w:rPr>
        <w:t xml:space="preserve">Where charges land — </w:t>
      </w:r>
      <w:r w:rsidRPr="523849D8">
        <w:t>Enabling pay-as-you-go connects your Microsoft 365 tenant to an Azure subscription, and Cowork charges appear on your Azure invoice.</w:t>
      </w:r>
    </w:p>
    <w:p w14:paraId="124C4C81" w14:textId="77777777" w:rsidR="0042783A" w:rsidRDefault="005C4193">
      <w:pPr>
        <w:pStyle w:val="ListParagraph"/>
        <w:numPr>
          <w:ilvl w:val="0"/>
          <w:numId w:val="2"/>
        </w:numPr>
        <w:spacing w:after="90"/>
      </w:pPr>
      <w:r>
        <w:rPr>
          <w:b/>
          <w:bCs/>
        </w:rPr>
        <w:t xml:space="preserve">Rate — </w:t>
      </w:r>
      <w:r>
        <w:t>Each credit costs $0.01 under pay-as-you-go. Usage accrues continuously and appears in the Cost Management dashboard within about 24 hours.</w:t>
      </w:r>
    </w:p>
    <w:p w14:paraId="4E463EAE" w14:textId="77777777" w:rsidR="0042783A" w:rsidRDefault="005C4193">
      <w:pPr>
        <w:pStyle w:val="ListParagraph"/>
        <w:numPr>
          <w:ilvl w:val="0"/>
          <w:numId w:val="2"/>
        </w:numPr>
        <w:spacing w:after="90"/>
      </w:pPr>
      <w:r>
        <w:rPr>
          <w:b/>
          <w:bCs/>
        </w:rPr>
        <w:t xml:space="preserve">Options — </w:t>
      </w:r>
      <w:r>
        <w:t>There are three ways to pay for credits, summarized below.</w:t>
      </w:r>
    </w:p>
    <w:p w14:paraId="0A37501D" w14:textId="77777777" w:rsidR="0042783A" w:rsidRDefault="0042783A">
      <w:pPr>
        <w:spacing w:after="80"/>
      </w:pPr>
    </w:p>
    <w:tbl>
      <w:tblPr>
        <w:tblW w:w="936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00"/>
        <w:gridCol w:w="3360"/>
        <w:gridCol w:w="1900"/>
        <w:gridCol w:w="1800"/>
      </w:tblGrid>
      <w:tr w:rsidR="0042783A" w14:paraId="72371DC3" w14:textId="77777777">
        <w:tblPrEx>
          <w:tblCellMar>
            <w:top w:w="0" w:type="dxa"/>
            <w:bottom w:w="0" w:type="dxa"/>
          </w:tblCellMar>
        </w:tblPrEx>
        <w:trPr>
          <w:tblHeader/>
        </w:trPr>
        <w:tc>
          <w:tcPr>
            <w:tcW w:w="2300" w:type="dxa"/>
            <w:tcBorders>
              <w:top w:val="single" w:sz="1" w:space="0" w:color="BFBFBF"/>
              <w:left w:val="single" w:sz="1" w:space="0" w:color="BFBFBF"/>
              <w:bottom w:val="single" w:sz="1" w:space="0" w:color="BFBFBF"/>
              <w:right w:val="single" w:sz="1" w:space="0" w:color="BFBFBF"/>
            </w:tcBorders>
            <w:shd w:val="clear" w:color="auto" w:fill="1F3864"/>
            <w:tcMar>
              <w:top w:w="90" w:type="dxa"/>
              <w:left w:w="140" w:type="dxa"/>
              <w:bottom w:w="90" w:type="dxa"/>
              <w:right w:w="140" w:type="dxa"/>
            </w:tcMar>
            <w:vAlign w:val="center"/>
          </w:tcPr>
          <w:p w14:paraId="5A6F290E" w14:textId="77777777" w:rsidR="0042783A" w:rsidRDefault="005C4193">
            <w:r>
              <w:rPr>
                <w:b/>
                <w:bCs/>
                <w:color w:val="FFFFFF"/>
                <w:sz w:val="20"/>
                <w:szCs w:val="20"/>
              </w:rPr>
              <w:t>Payment model</w:t>
            </w:r>
          </w:p>
        </w:tc>
        <w:tc>
          <w:tcPr>
            <w:tcW w:w="3360" w:type="dxa"/>
            <w:tcBorders>
              <w:top w:val="single" w:sz="1" w:space="0" w:color="BFBFBF"/>
              <w:left w:val="single" w:sz="1" w:space="0" w:color="BFBFBF"/>
              <w:bottom w:val="single" w:sz="1" w:space="0" w:color="BFBFBF"/>
              <w:right w:val="single" w:sz="1" w:space="0" w:color="BFBFBF"/>
            </w:tcBorders>
            <w:shd w:val="clear" w:color="auto" w:fill="1F3864"/>
            <w:tcMar>
              <w:top w:w="90" w:type="dxa"/>
              <w:left w:w="140" w:type="dxa"/>
              <w:bottom w:w="90" w:type="dxa"/>
              <w:right w:w="140" w:type="dxa"/>
            </w:tcMar>
            <w:vAlign w:val="center"/>
          </w:tcPr>
          <w:p w14:paraId="0385B07B" w14:textId="77777777" w:rsidR="0042783A" w:rsidRDefault="005C4193">
            <w:r>
              <w:rPr>
                <w:b/>
                <w:bCs/>
                <w:color w:val="FFFFFF"/>
                <w:sz w:val="20"/>
                <w:szCs w:val="20"/>
              </w:rPr>
              <w:t>How it works</w:t>
            </w:r>
          </w:p>
        </w:tc>
        <w:tc>
          <w:tcPr>
            <w:tcW w:w="1900" w:type="dxa"/>
            <w:tcBorders>
              <w:top w:val="single" w:sz="1" w:space="0" w:color="BFBFBF"/>
              <w:left w:val="single" w:sz="1" w:space="0" w:color="BFBFBF"/>
              <w:bottom w:val="single" w:sz="1" w:space="0" w:color="BFBFBF"/>
              <w:right w:val="single" w:sz="1" w:space="0" w:color="BFBFBF"/>
            </w:tcBorders>
            <w:shd w:val="clear" w:color="auto" w:fill="1F3864"/>
            <w:tcMar>
              <w:top w:w="90" w:type="dxa"/>
              <w:left w:w="140" w:type="dxa"/>
              <w:bottom w:w="90" w:type="dxa"/>
              <w:right w:w="140" w:type="dxa"/>
            </w:tcMar>
            <w:vAlign w:val="center"/>
          </w:tcPr>
          <w:p w14:paraId="0049034D" w14:textId="77777777" w:rsidR="0042783A" w:rsidRDefault="005C4193">
            <w:r>
              <w:rPr>
                <w:b/>
                <w:bCs/>
                <w:color w:val="FFFFFF"/>
                <w:sz w:val="20"/>
                <w:szCs w:val="20"/>
              </w:rPr>
              <w:t>Cadence</w:t>
            </w:r>
          </w:p>
        </w:tc>
        <w:tc>
          <w:tcPr>
            <w:tcW w:w="1800" w:type="dxa"/>
            <w:tcBorders>
              <w:top w:val="single" w:sz="1" w:space="0" w:color="BFBFBF"/>
              <w:left w:val="single" w:sz="1" w:space="0" w:color="BFBFBF"/>
              <w:bottom w:val="single" w:sz="1" w:space="0" w:color="BFBFBF"/>
              <w:right w:val="single" w:sz="1" w:space="0" w:color="BFBFBF"/>
            </w:tcBorders>
            <w:shd w:val="clear" w:color="auto" w:fill="1F3864"/>
            <w:tcMar>
              <w:top w:w="90" w:type="dxa"/>
              <w:left w:w="140" w:type="dxa"/>
              <w:bottom w:w="90" w:type="dxa"/>
              <w:right w:w="140" w:type="dxa"/>
            </w:tcMar>
            <w:vAlign w:val="center"/>
          </w:tcPr>
          <w:p w14:paraId="71D3C4A2" w14:textId="77777777" w:rsidR="0042783A" w:rsidRDefault="005C4193">
            <w:r>
              <w:rPr>
                <w:b/>
                <w:bCs/>
                <w:color w:val="FFFFFF"/>
                <w:sz w:val="20"/>
                <w:szCs w:val="20"/>
              </w:rPr>
              <w:t>Discount</w:t>
            </w:r>
          </w:p>
        </w:tc>
      </w:tr>
      <w:tr w:rsidR="0042783A" w14:paraId="0128C024" w14:textId="77777777">
        <w:tblPrEx>
          <w:tblCellMar>
            <w:top w:w="0" w:type="dxa"/>
            <w:bottom w:w="0" w:type="dxa"/>
          </w:tblCellMar>
        </w:tblPrEx>
        <w:trPr>
          <w:cantSplit/>
        </w:trPr>
        <w:tc>
          <w:tcPr>
            <w:tcW w:w="2300" w:type="dxa"/>
            <w:tcBorders>
              <w:top w:val="single" w:sz="1" w:space="0" w:color="BFBFBF"/>
              <w:left w:val="single" w:sz="1" w:space="0" w:color="BFBFBF"/>
              <w:bottom w:val="single" w:sz="1" w:space="0" w:color="BFBFBF"/>
              <w:right w:val="single" w:sz="1" w:space="0" w:color="BFBFBF"/>
            </w:tcBorders>
            <w:shd w:val="clear" w:color="auto" w:fill="D9E2F3"/>
            <w:tcMar>
              <w:top w:w="90" w:type="dxa"/>
              <w:left w:w="140" w:type="dxa"/>
              <w:bottom w:w="90" w:type="dxa"/>
              <w:right w:w="140" w:type="dxa"/>
            </w:tcMar>
            <w:vAlign w:val="center"/>
          </w:tcPr>
          <w:p w14:paraId="2418C2CC" w14:textId="77777777" w:rsidR="0042783A" w:rsidRDefault="005C4193">
            <w:r>
              <w:rPr>
                <w:b/>
                <w:bCs/>
                <w:sz w:val="20"/>
                <w:szCs w:val="20"/>
              </w:rPr>
              <w:t>Pay-as-you-go</w:t>
            </w:r>
          </w:p>
        </w:tc>
        <w:tc>
          <w:tcPr>
            <w:tcW w:w="3360" w:type="dxa"/>
            <w:tcBorders>
              <w:top w:val="single" w:sz="1" w:space="0" w:color="BFBFBF"/>
              <w:left w:val="single" w:sz="1" w:space="0" w:color="BFBFBF"/>
              <w:bottom w:val="single" w:sz="1" w:space="0" w:color="BFBFBF"/>
              <w:right w:val="single" w:sz="1" w:space="0" w:color="BFBFBF"/>
            </w:tcBorders>
            <w:tcMar>
              <w:top w:w="90" w:type="dxa"/>
              <w:left w:w="140" w:type="dxa"/>
              <w:bottom w:w="90" w:type="dxa"/>
              <w:right w:w="140" w:type="dxa"/>
            </w:tcMar>
            <w:vAlign w:val="center"/>
          </w:tcPr>
          <w:p w14:paraId="7F39EE3D" w14:textId="77777777" w:rsidR="0042783A" w:rsidRDefault="005C4193">
            <w:r>
              <w:rPr>
                <w:sz w:val="20"/>
                <w:szCs w:val="20"/>
              </w:rPr>
              <w:t>Billed for actual usage on the Azure invoice; no commitment.</w:t>
            </w:r>
          </w:p>
        </w:tc>
        <w:tc>
          <w:tcPr>
            <w:tcW w:w="1900" w:type="dxa"/>
            <w:tcBorders>
              <w:top w:val="single" w:sz="1" w:space="0" w:color="BFBFBF"/>
              <w:left w:val="single" w:sz="1" w:space="0" w:color="BFBFBF"/>
              <w:bottom w:val="single" w:sz="1" w:space="0" w:color="BFBFBF"/>
              <w:right w:val="single" w:sz="1" w:space="0" w:color="BFBFBF"/>
            </w:tcBorders>
            <w:tcMar>
              <w:top w:w="90" w:type="dxa"/>
              <w:left w:w="140" w:type="dxa"/>
              <w:bottom w:w="90" w:type="dxa"/>
              <w:right w:w="140" w:type="dxa"/>
            </w:tcMar>
            <w:vAlign w:val="center"/>
          </w:tcPr>
          <w:p w14:paraId="65E7CAF4" w14:textId="77777777" w:rsidR="0042783A" w:rsidRDefault="005C4193">
            <w:r>
              <w:rPr>
                <w:sz w:val="20"/>
                <w:szCs w:val="20"/>
              </w:rPr>
              <w:t>Monthly, in arrears</w:t>
            </w:r>
          </w:p>
        </w:tc>
        <w:tc>
          <w:tcPr>
            <w:tcW w:w="1800" w:type="dxa"/>
            <w:tcBorders>
              <w:top w:val="single" w:sz="1" w:space="0" w:color="BFBFBF"/>
              <w:left w:val="single" w:sz="1" w:space="0" w:color="BFBFBF"/>
              <w:bottom w:val="single" w:sz="1" w:space="0" w:color="BFBFBF"/>
              <w:right w:val="single" w:sz="1" w:space="0" w:color="BFBFBF"/>
            </w:tcBorders>
            <w:tcMar>
              <w:top w:w="90" w:type="dxa"/>
              <w:left w:w="140" w:type="dxa"/>
              <w:bottom w:w="90" w:type="dxa"/>
              <w:right w:w="140" w:type="dxa"/>
            </w:tcMar>
            <w:vAlign w:val="center"/>
          </w:tcPr>
          <w:p w14:paraId="36E59A83" w14:textId="77777777" w:rsidR="0042783A" w:rsidRDefault="005C4193">
            <w:r>
              <w:rPr>
                <w:sz w:val="20"/>
                <w:szCs w:val="20"/>
              </w:rPr>
              <w:t>List rate ($0.01/credit)</w:t>
            </w:r>
          </w:p>
        </w:tc>
      </w:tr>
      <w:tr w:rsidR="0042783A" w14:paraId="1820130E" w14:textId="77777777">
        <w:tblPrEx>
          <w:tblCellMar>
            <w:top w:w="0" w:type="dxa"/>
            <w:bottom w:w="0" w:type="dxa"/>
          </w:tblCellMar>
        </w:tblPrEx>
        <w:trPr>
          <w:cantSplit/>
        </w:trPr>
        <w:tc>
          <w:tcPr>
            <w:tcW w:w="2300" w:type="dxa"/>
            <w:tcBorders>
              <w:top w:val="single" w:sz="1" w:space="0" w:color="BFBFBF"/>
              <w:left w:val="single" w:sz="1" w:space="0" w:color="BFBFBF"/>
              <w:bottom w:val="single" w:sz="1" w:space="0" w:color="BFBFBF"/>
              <w:right w:val="single" w:sz="1" w:space="0" w:color="BFBFBF"/>
            </w:tcBorders>
            <w:shd w:val="clear" w:color="auto" w:fill="D9E2F3"/>
            <w:tcMar>
              <w:top w:w="90" w:type="dxa"/>
              <w:left w:w="140" w:type="dxa"/>
              <w:bottom w:w="90" w:type="dxa"/>
              <w:right w:w="140" w:type="dxa"/>
            </w:tcMar>
            <w:vAlign w:val="center"/>
          </w:tcPr>
          <w:p w14:paraId="46CA1AC0" w14:textId="77777777" w:rsidR="0042783A" w:rsidRDefault="005C4193">
            <w:r>
              <w:rPr>
                <w:b/>
                <w:bCs/>
                <w:sz w:val="20"/>
                <w:szCs w:val="20"/>
              </w:rPr>
              <w:t>Prepaid credit packs</w:t>
            </w:r>
          </w:p>
        </w:tc>
        <w:tc>
          <w:tcPr>
            <w:tcW w:w="3360" w:type="dxa"/>
            <w:tcBorders>
              <w:top w:val="single" w:sz="1" w:space="0" w:color="BFBFBF"/>
              <w:left w:val="single" w:sz="1" w:space="0" w:color="BFBFBF"/>
              <w:bottom w:val="single" w:sz="1" w:space="0" w:color="BFBFBF"/>
              <w:right w:val="single" w:sz="1" w:space="0" w:color="BFBFBF"/>
            </w:tcBorders>
            <w:tcMar>
              <w:top w:w="90" w:type="dxa"/>
              <w:left w:w="140" w:type="dxa"/>
              <w:bottom w:w="90" w:type="dxa"/>
              <w:right w:w="140" w:type="dxa"/>
            </w:tcMar>
            <w:vAlign w:val="center"/>
          </w:tcPr>
          <w:p w14:paraId="3371B8FC" w14:textId="77777777" w:rsidR="0042783A" w:rsidRDefault="005C4193">
            <w:r>
              <w:rPr>
                <w:sz w:val="20"/>
                <w:szCs w:val="20"/>
              </w:rPr>
              <w:t>Buy a block of credits up front (approx. 25,000 credits per pack). Must be used within the month — no rollover.</w:t>
            </w:r>
          </w:p>
        </w:tc>
        <w:tc>
          <w:tcPr>
            <w:tcW w:w="1900" w:type="dxa"/>
            <w:tcBorders>
              <w:top w:val="single" w:sz="1" w:space="0" w:color="BFBFBF"/>
              <w:left w:val="single" w:sz="1" w:space="0" w:color="BFBFBF"/>
              <w:bottom w:val="single" w:sz="1" w:space="0" w:color="BFBFBF"/>
              <w:right w:val="single" w:sz="1" w:space="0" w:color="BFBFBF"/>
            </w:tcBorders>
            <w:tcMar>
              <w:top w:w="90" w:type="dxa"/>
              <w:left w:w="140" w:type="dxa"/>
              <w:bottom w:w="90" w:type="dxa"/>
              <w:right w:w="140" w:type="dxa"/>
            </w:tcMar>
            <w:vAlign w:val="center"/>
          </w:tcPr>
          <w:p w14:paraId="6774F417" w14:textId="77777777" w:rsidR="0042783A" w:rsidRDefault="005C4193">
            <w:r>
              <w:rPr>
                <w:sz w:val="20"/>
                <w:szCs w:val="20"/>
              </w:rPr>
              <w:t>Monthly (prepaid)</w:t>
            </w:r>
          </w:p>
        </w:tc>
        <w:tc>
          <w:tcPr>
            <w:tcW w:w="1800" w:type="dxa"/>
            <w:tcBorders>
              <w:top w:val="single" w:sz="1" w:space="0" w:color="BFBFBF"/>
              <w:left w:val="single" w:sz="1" w:space="0" w:color="BFBFBF"/>
              <w:bottom w:val="single" w:sz="1" w:space="0" w:color="BFBFBF"/>
              <w:right w:val="single" w:sz="1" w:space="0" w:color="BFBFBF"/>
            </w:tcBorders>
            <w:tcMar>
              <w:top w:w="90" w:type="dxa"/>
              <w:left w:w="140" w:type="dxa"/>
              <w:bottom w:w="90" w:type="dxa"/>
              <w:right w:w="140" w:type="dxa"/>
            </w:tcMar>
            <w:vAlign w:val="center"/>
          </w:tcPr>
          <w:p w14:paraId="6FDCD14A" w14:textId="77777777" w:rsidR="0042783A" w:rsidRDefault="005C4193">
            <w:r>
              <w:rPr>
                <w:sz w:val="20"/>
                <w:szCs w:val="20"/>
              </w:rPr>
              <w:t>~20%</w:t>
            </w:r>
          </w:p>
        </w:tc>
      </w:tr>
      <w:tr w:rsidR="0042783A" w14:paraId="0E8D4BA5" w14:textId="77777777">
        <w:tblPrEx>
          <w:tblCellMar>
            <w:top w:w="0" w:type="dxa"/>
            <w:bottom w:w="0" w:type="dxa"/>
          </w:tblCellMar>
        </w:tblPrEx>
        <w:trPr>
          <w:cantSplit/>
        </w:trPr>
        <w:tc>
          <w:tcPr>
            <w:tcW w:w="2300" w:type="dxa"/>
            <w:tcBorders>
              <w:top w:val="single" w:sz="1" w:space="0" w:color="BFBFBF"/>
              <w:left w:val="single" w:sz="1" w:space="0" w:color="BFBFBF"/>
              <w:bottom w:val="single" w:sz="1" w:space="0" w:color="BFBFBF"/>
              <w:right w:val="single" w:sz="1" w:space="0" w:color="BFBFBF"/>
            </w:tcBorders>
            <w:shd w:val="clear" w:color="auto" w:fill="D9E2F3"/>
            <w:tcMar>
              <w:top w:w="90" w:type="dxa"/>
              <w:left w:w="140" w:type="dxa"/>
              <w:bottom w:w="90" w:type="dxa"/>
              <w:right w:w="140" w:type="dxa"/>
            </w:tcMar>
            <w:vAlign w:val="center"/>
          </w:tcPr>
          <w:p w14:paraId="11089024" w14:textId="77777777" w:rsidR="0042783A" w:rsidRDefault="005C4193">
            <w:r>
              <w:rPr>
                <w:b/>
                <w:bCs/>
                <w:sz w:val="20"/>
                <w:szCs w:val="20"/>
              </w:rPr>
              <w:t>Pre-Purchase Plan (P3)</w:t>
            </w:r>
          </w:p>
        </w:tc>
        <w:tc>
          <w:tcPr>
            <w:tcW w:w="3360" w:type="dxa"/>
            <w:tcBorders>
              <w:top w:val="single" w:sz="1" w:space="0" w:color="BFBFBF"/>
              <w:left w:val="single" w:sz="1" w:space="0" w:color="BFBFBF"/>
              <w:bottom w:val="single" w:sz="1" w:space="0" w:color="BFBFBF"/>
              <w:right w:val="single" w:sz="1" w:space="0" w:color="BFBFBF"/>
            </w:tcBorders>
            <w:tcMar>
              <w:top w:w="90" w:type="dxa"/>
              <w:left w:w="140" w:type="dxa"/>
              <w:bottom w:w="90" w:type="dxa"/>
              <w:right w:w="140" w:type="dxa"/>
            </w:tcMar>
            <w:vAlign w:val="center"/>
          </w:tcPr>
          <w:p w14:paraId="21641454" w14:textId="77777777" w:rsidR="0042783A" w:rsidRDefault="005C4193">
            <w:r>
              <w:rPr>
                <w:sz w:val="20"/>
                <w:szCs w:val="20"/>
              </w:rPr>
              <w:t>Commit to a volume of credits in advance for the best rate.</w:t>
            </w:r>
          </w:p>
        </w:tc>
        <w:tc>
          <w:tcPr>
            <w:tcW w:w="1900" w:type="dxa"/>
            <w:tcBorders>
              <w:top w:val="single" w:sz="1" w:space="0" w:color="BFBFBF"/>
              <w:left w:val="single" w:sz="1" w:space="0" w:color="BFBFBF"/>
              <w:bottom w:val="single" w:sz="1" w:space="0" w:color="BFBFBF"/>
              <w:right w:val="single" w:sz="1" w:space="0" w:color="BFBFBF"/>
            </w:tcBorders>
            <w:tcMar>
              <w:top w:w="90" w:type="dxa"/>
              <w:left w:w="140" w:type="dxa"/>
              <w:bottom w:w="90" w:type="dxa"/>
              <w:right w:w="140" w:type="dxa"/>
            </w:tcMar>
            <w:vAlign w:val="center"/>
          </w:tcPr>
          <w:p w14:paraId="357770F7" w14:textId="77777777" w:rsidR="0042783A" w:rsidRDefault="005C4193">
            <w:r>
              <w:rPr>
                <w:sz w:val="20"/>
                <w:szCs w:val="20"/>
              </w:rPr>
              <w:t>Annual (prepaid)</w:t>
            </w:r>
          </w:p>
        </w:tc>
        <w:tc>
          <w:tcPr>
            <w:tcW w:w="1800" w:type="dxa"/>
            <w:tcBorders>
              <w:top w:val="single" w:sz="1" w:space="0" w:color="BFBFBF"/>
              <w:left w:val="single" w:sz="1" w:space="0" w:color="BFBFBF"/>
              <w:bottom w:val="single" w:sz="1" w:space="0" w:color="BFBFBF"/>
              <w:right w:val="single" w:sz="1" w:space="0" w:color="BFBFBF"/>
            </w:tcBorders>
            <w:tcMar>
              <w:top w:w="90" w:type="dxa"/>
              <w:left w:w="140" w:type="dxa"/>
              <w:bottom w:w="90" w:type="dxa"/>
              <w:right w:w="140" w:type="dxa"/>
            </w:tcMar>
            <w:vAlign w:val="center"/>
          </w:tcPr>
          <w:p w14:paraId="60374D65" w14:textId="77777777" w:rsidR="0042783A" w:rsidRDefault="005C4193">
            <w:r>
              <w:rPr>
                <w:sz w:val="20"/>
                <w:szCs w:val="20"/>
              </w:rPr>
              <w:t>Tiered ~5–20%</w:t>
            </w:r>
          </w:p>
        </w:tc>
      </w:tr>
    </w:tbl>
    <w:p w14:paraId="7019B636" w14:textId="77777777" w:rsidR="0042783A" w:rsidRDefault="005C4193">
      <w:pPr>
        <w:spacing w:before="120" w:after="240"/>
      </w:pPr>
      <w:r>
        <w:rPr>
          <w:color w:val="595959"/>
        </w:rPr>
        <w:t>A common approach: prepay your predictable baseline (a credit pack or P3 sized to your floor, not your peak) and keep pay-as-you-go enabled for controlled overage — so steady usage earns the discount and occasional spikes still work.</w:t>
      </w:r>
    </w:p>
    <w:p w14:paraId="77210EC4" w14:textId="77777777" w:rsidR="0042783A" w:rsidRDefault="005C4193">
      <w:pPr>
        <w:pStyle w:val="heading10"/>
      </w:pPr>
      <w:r>
        <w:t>6. What does a typical task cost?</w:t>
      </w:r>
    </w:p>
    <w:p w14:paraId="150E51AA" w14:textId="77777777" w:rsidR="0042783A" w:rsidRDefault="523849D8">
      <w:pPr>
        <w:spacing w:after="160"/>
      </w:pPr>
      <w:r w:rsidRPr="523849D8">
        <w:rPr>
          <w:color w:val="000000"/>
        </w:rPr>
        <w:t>A task’s credit cost depends on four things: the AI model used, how much of your data it retrieves, how many tool actions it takes, and how long it runs. The ranges below are illustrative estimates from Microsoft’s guidance — actual costs vary by task.</w:t>
      </w:r>
    </w:p>
    <w:tbl>
      <w:tblPr>
        <w:tblW w:w="936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00"/>
        <w:gridCol w:w="4760"/>
        <w:gridCol w:w="1500"/>
        <w:gridCol w:w="1400"/>
      </w:tblGrid>
      <w:tr w:rsidR="0042783A" w14:paraId="2F1187DA" w14:textId="77777777" w:rsidTr="523849D8">
        <w:tblPrEx>
          <w:tblCellMar>
            <w:top w:w="0" w:type="dxa"/>
            <w:bottom w:w="0" w:type="dxa"/>
          </w:tblCellMar>
        </w:tblPrEx>
        <w:trPr>
          <w:tblHeader/>
        </w:trPr>
        <w:tc>
          <w:tcPr>
            <w:tcW w:w="1700" w:type="dxa"/>
            <w:tcBorders>
              <w:top w:val="single" w:sz="1" w:space="0" w:color="BFBFBF"/>
              <w:left w:val="single" w:sz="1" w:space="0" w:color="BFBFBF"/>
              <w:bottom w:val="single" w:sz="1" w:space="0" w:color="BFBFBF"/>
              <w:right w:val="single" w:sz="1" w:space="0" w:color="BFBFBF"/>
            </w:tcBorders>
            <w:shd w:val="clear" w:color="auto" w:fill="1F3864"/>
            <w:tcMar>
              <w:top w:w="90" w:type="dxa"/>
              <w:left w:w="140" w:type="dxa"/>
              <w:bottom w:w="90" w:type="dxa"/>
              <w:right w:w="140" w:type="dxa"/>
            </w:tcMar>
            <w:vAlign w:val="center"/>
          </w:tcPr>
          <w:p w14:paraId="0661A096" w14:textId="77777777" w:rsidR="0042783A" w:rsidRDefault="005C4193">
            <w:r>
              <w:rPr>
                <w:b/>
                <w:bCs/>
                <w:color w:val="FFFFFF"/>
                <w:sz w:val="20"/>
                <w:szCs w:val="20"/>
              </w:rPr>
              <w:t>Task size</w:t>
            </w:r>
          </w:p>
        </w:tc>
        <w:tc>
          <w:tcPr>
            <w:tcW w:w="4760" w:type="dxa"/>
            <w:tcBorders>
              <w:top w:val="single" w:sz="1" w:space="0" w:color="BFBFBF"/>
              <w:left w:val="single" w:sz="1" w:space="0" w:color="BFBFBF"/>
              <w:bottom w:val="single" w:sz="1" w:space="0" w:color="BFBFBF"/>
              <w:right w:val="single" w:sz="1" w:space="0" w:color="BFBFBF"/>
            </w:tcBorders>
            <w:shd w:val="clear" w:color="auto" w:fill="1F3864"/>
            <w:tcMar>
              <w:top w:w="90" w:type="dxa"/>
              <w:left w:w="140" w:type="dxa"/>
              <w:bottom w:w="90" w:type="dxa"/>
              <w:right w:w="140" w:type="dxa"/>
            </w:tcMar>
            <w:vAlign w:val="center"/>
          </w:tcPr>
          <w:p w14:paraId="4412BE45" w14:textId="77777777" w:rsidR="0042783A" w:rsidRDefault="005C4193">
            <w:r>
              <w:rPr>
                <w:b/>
                <w:bCs/>
                <w:color w:val="FFFFFF"/>
                <w:sz w:val="20"/>
                <w:szCs w:val="20"/>
              </w:rPr>
              <w:t>Example</w:t>
            </w:r>
          </w:p>
        </w:tc>
        <w:tc>
          <w:tcPr>
            <w:tcW w:w="1500" w:type="dxa"/>
            <w:tcBorders>
              <w:top w:val="single" w:sz="1" w:space="0" w:color="BFBFBF"/>
              <w:left w:val="single" w:sz="1" w:space="0" w:color="BFBFBF"/>
              <w:bottom w:val="single" w:sz="1" w:space="0" w:color="BFBFBF"/>
              <w:right w:val="single" w:sz="1" w:space="0" w:color="BFBFBF"/>
            </w:tcBorders>
            <w:shd w:val="clear" w:color="auto" w:fill="1F3864"/>
            <w:tcMar>
              <w:top w:w="90" w:type="dxa"/>
              <w:left w:w="140" w:type="dxa"/>
              <w:bottom w:w="90" w:type="dxa"/>
              <w:right w:w="140" w:type="dxa"/>
            </w:tcMar>
            <w:vAlign w:val="center"/>
          </w:tcPr>
          <w:p w14:paraId="428A37C4" w14:textId="77777777" w:rsidR="0042783A" w:rsidRDefault="005C4193">
            <w:r>
              <w:rPr>
                <w:b/>
                <w:bCs/>
                <w:color w:val="FFFFFF"/>
                <w:sz w:val="20"/>
                <w:szCs w:val="20"/>
              </w:rPr>
              <w:t>Est. credits</w:t>
            </w:r>
          </w:p>
        </w:tc>
        <w:tc>
          <w:tcPr>
            <w:tcW w:w="1400" w:type="dxa"/>
            <w:tcBorders>
              <w:top w:val="single" w:sz="1" w:space="0" w:color="BFBFBF"/>
              <w:left w:val="single" w:sz="1" w:space="0" w:color="BFBFBF"/>
              <w:bottom w:val="single" w:sz="1" w:space="0" w:color="BFBFBF"/>
              <w:right w:val="single" w:sz="1" w:space="0" w:color="BFBFBF"/>
            </w:tcBorders>
            <w:shd w:val="clear" w:color="auto" w:fill="1F3864"/>
            <w:tcMar>
              <w:top w:w="90" w:type="dxa"/>
              <w:left w:w="140" w:type="dxa"/>
              <w:bottom w:w="90" w:type="dxa"/>
              <w:right w:w="140" w:type="dxa"/>
            </w:tcMar>
            <w:vAlign w:val="center"/>
          </w:tcPr>
          <w:p w14:paraId="2AC0B68E" w14:textId="77777777" w:rsidR="0042783A" w:rsidRDefault="523849D8">
            <w:r w:rsidRPr="523849D8">
              <w:rPr>
                <w:b/>
                <w:bCs/>
                <w:color w:val="FFFFFF"/>
                <w:sz w:val="20"/>
                <w:szCs w:val="20"/>
              </w:rPr>
              <w:t>Approx. (PayGo)</w:t>
            </w:r>
          </w:p>
        </w:tc>
      </w:tr>
      <w:tr w:rsidR="0042783A" w14:paraId="2EFDAC79" w14:textId="77777777" w:rsidTr="523849D8">
        <w:tblPrEx>
          <w:tblCellMar>
            <w:top w:w="0" w:type="dxa"/>
            <w:bottom w:w="0" w:type="dxa"/>
          </w:tblCellMar>
        </w:tblPrEx>
        <w:trPr>
          <w:cantSplit/>
        </w:trPr>
        <w:tc>
          <w:tcPr>
            <w:tcW w:w="1700" w:type="dxa"/>
            <w:tcBorders>
              <w:top w:val="single" w:sz="1" w:space="0" w:color="BFBFBF"/>
              <w:left w:val="single" w:sz="1" w:space="0" w:color="BFBFBF"/>
              <w:bottom w:val="single" w:sz="1" w:space="0" w:color="BFBFBF"/>
              <w:right w:val="single" w:sz="1" w:space="0" w:color="BFBFBF"/>
            </w:tcBorders>
            <w:shd w:val="clear" w:color="auto" w:fill="D9E2F3"/>
            <w:tcMar>
              <w:top w:w="90" w:type="dxa"/>
              <w:left w:w="140" w:type="dxa"/>
              <w:bottom w:w="90" w:type="dxa"/>
              <w:right w:w="140" w:type="dxa"/>
            </w:tcMar>
            <w:vAlign w:val="center"/>
          </w:tcPr>
          <w:p w14:paraId="43372E48" w14:textId="77777777" w:rsidR="0042783A" w:rsidRDefault="005C4193">
            <w:r>
              <w:rPr>
                <w:b/>
                <w:bCs/>
                <w:sz w:val="20"/>
                <w:szCs w:val="20"/>
              </w:rPr>
              <w:t>Light</w:t>
            </w:r>
          </w:p>
        </w:tc>
        <w:tc>
          <w:tcPr>
            <w:tcW w:w="4760" w:type="dxa"/>
            <w:tcBorders>
              <w:top w:val="single" w:sz="1" w:space="0" w:color="BFBFBF"/>
              <w:left w:val="single" w:sz="1" w:space="0" w:color="BFBFBF"/>
              <w:bottom w:val="single" w:sz="1" w:space="0" w:color="BFBFBF"/>
              <w:right w:val="single" w:sz="1" w:space="0" w:color="BFBFBF"/>
            </w:tcBorders>
            <w:tcMar>
              <w:top w:w="90" w:type="dxa"/>
              <w:left w:w="140" w:type="dxa"/>
              <w:bottom w:w="90" w:type="dxa"/>
              <w:right w:w="140" w:type="dxa"/>
            </w:tcMar>
            <w:vAlign w:val="center"/>
          </w:tcPr>
          <w:p w14:paraId="379E6A30" w14:textId="77777777" w:rsidR="0042783A" w:rsidRDefault="523849D8">
            <w:r w:rsidRPr="523849D8">
              <w:rPr>
                <w:sz w:val="20"/>
                <w:szCs w:val="20"/>
              </w:rPr>
              <w:t>A few sources, light reasoning, one short output (e.g. a Monday status update).</w:t>
            </w:r>
          </w:p>
        </w:tc>
        <w:tc>
          <w:tcPr>
            <w:tcW w:w="1500" w:type="dxa"/>
            <w:tcBorders>
              <w:top w:val="single" w:sz="1" w:space="0" w:color="BFBFBF"/>
              <w:left w:val="single" w:sz="1" w:space="0" w:color="BFBFBF"/>
              <w:bottom w:val="single" w:sz="1" w:space="0" w:color="BFBFBF"/>
              <w:right w:val="single" w:sz="1" w:space="0" w:color="BFBFBF"/>
            </w:tcBorders>
            <w:tcMar>
              <w:top w:w="90" w:type="dxa"/>
              <w:left w:w="140" w:type="dxa"/>
              <w:bottom w:w="90" w:type="dxa"/>
              <w:right w:w="140" w:type="dxa"/>
            </w:tcMar>
            <w:vAlign w:val="center"/>
          </w:tcPr>
          <w:p w14:paraId="3875CAD9" w14:textId="77777777" w:rsidR="0042783A" w:rsidRDefault="005C4193">
            <w:r>
              <w:rPr>
                <w:sz w:val="20"/>
                <w:szCs w:val="20"/>
              </w:rPr>
              <w:t>~100–300</w:t>
            </w:r>
          </w:p>
        </w:tc>
        <w:tc>
          <w:tcPr>
            <w:tcW w:w="1400" w:type="dxa"/>
            <w:tcBorders>
              <w:top w:val="single" w:sz="1" w:space="0" w:color="BFBFBF"/>
              <w:left w:val="single" w:sz="1" w:space="0" w:color="BFBFBF"/>
              <w:bottom w:val="single" w:sz="1" w:space="0" w:color="BFBFBF"/>
              <w:right w:val="single" w:sz="1" w:space="0" w:color="BFBFBF"/>
            </w:tcBorders>
            <w:tcMar>
              <w:top w:w="90" w:type="dxa"/>
              <w:left w:w="140" w:type="dxa"/>
              <w:bottom w:w="90" w:type="dxa"/>
              <w:right w:w="140" w:type="dxa"/>
            </w:tcMar>
            <w:vAlign w:val="center"/>
          </w:tcPr>
          <w:p w14:paraId="2B01D87F" w14:textId="77777777" w:rsidR="0042783A" w:rsidRDefault="005C4193">
            <w:r>
              <w:rPr>
                <w:sz w:val="20"/>
                <w:szCs w:val="20"/>
              </w:rPr>
              <w:t>~$1–$3</w:t>
            </w:r>
          </w:p>
        </w:tc>
      </w:tr>
      <w:tr w:rsidR="0042783A" w14:paraId="30985C90" w14:textId="77777777" w:rsidTr="523849D8">
        <w:tblPrEx>
          <w:tblCellMar>
            <w:top w:w="0" w:type="dxa"/>
            <w:bottom w:w="0" w:type="dxa"/>
          </w:tblCellMar>
        </w:tblPrEx>
        <w:trPr>
          <w:cantSplit/>
        </w:trPr>
        <w:tc>
          <w:tcPr>
            <w:tcW w:w="1700" w:type="dxa"/>
            <w:tcBorders>
              <w:top w:val="single" w:sz="1" w:space="0" w:color="BFBFBF"/>
              <w:left w:val="single" w:sz="1" w:space="0" w:color="BFBFBF"/>
              <w:bottom w:val="single" w:sz="1" w:space="0" w:color="BFBFBF"/>
              <w:right w:val="single" w:sz="1" w:space="0" w:color="BFBFBF"/>
            </w:tcBorders>
            <w:shd w:val="clear" w:color="auto" w:fill="D9E2F3"/>
            <w:tcMar>
              <w:top w:w="90" w:type="dxa"/>
              <w:left w:w="140" w:type="dxa"/>
              <w:bottom w:w="90" w:type="dxa"/>
              <w:right w:w="140" w:type="dxa"/>
            </w:tcMar>
            <w:vAlign w:val="center"/>
          </w:tcPr>
          <w:p w14:paraId="19497B9C" w14:textId="77777777" w:rsidR="0042783A" w:rsidRDefault="005C4193">
            <w:r>
              <w:rPr>
                <w:b/>
                <w:bCs/>
                <w:sz w:val="20"/>
                <w:szCs w:val="20"/>
              </w:rPr>
              <w:t>Medium</w:t>
            </w:r>
          </w:p>
        </w:tc>
        <w:tc>
          <w:tcPr>
            <w:tcW w:w="4760" w:type="dxa"/>
            <w:tcBorders>
              <w:top w:val="single" w:sz="1" w:space="0" w:color="BFBFBF"/>
              <w:left w:val="single" w:sz="1" w:space="0" w:color="BFBFBF"/>
              <w:bottom w:val="single" w:sz="1" w:space="0" w:color="BFBFBF"/>
              <w:right w:val="single" w:sz="1" w:space="0" w:color="BFBFBF"/>
            </w:tcBorders>
            <w:tcMar>
              <w:top w:w="90" w:type="dxa"/>
              <w:left w:w="140" w:type="dxa"/>
              <w:bottom w:w="90" w:type="dxa"/>
              <w:right w:w="140" w:type="dxa"/>
            </w:tcMar>
            <w:vAlign w:val="center"/>
          </w:tcPr>
          <w:p w14:paraId="29C1120A" w14:textId="77777777" w:rsidR="0042783A" w:rsidRDefault="523849D8">
            <w:r w:rsidRPr="523849D8">
              <w:rPr>
                <w:sz w:val="20"/>
                <w:szCs w:val="20"/>
              </w:rPr>
              <w:t>Multiple sources, structured reasoning, two or more outputs (e.g. a meeting-prep doc plus a spreadsheet).</w:t>
            </w:r>
          </w:p>
        </w:tc>
        <w:tc>
          <w:tcPr>
            <w:tcW w:w="1500" w:type="dxa"/>
            <w:tcBorders>
              <w:top w:val="single" w:sz="1" w:space="0" w:color="BFBFBF"/>
              <w:left w:val="single" w:sz="1" w:space="0" w:color="BFBFBF"/>
              <w:bottom w:val="single" w:sz="1" w:space="0" w:color="BFBFBF"/>
              <w:right w:val="single" w:sz="1" w:space="0" w:color="BFBFBF"/>
            </w:tcBorders>
            <w:tcMar>
              <w:top w:w="90" w:type="dxa"/>
              <w:left w:w="140" w:type="dxa"/>
              <w:bottom w:w="90" w:type="dxa"/>
              <w:right w:w="140" w:type="dxa"/>
            </w:tcMar>
            <w:vAlign w:val="center"/>
          </w:tcPr>
          <w:p w14:paraId="6BA61D73" w14:textId="77777777" w:rsidR="0042783A" w:rsidRDefault="005C4193">
            <w:r>
              <w:rPr>
                <w:sz w:val="20"/>
                <w:szCs w:val="20"/>
              </w:rPr>
              <w:t>~400–700</w:t>
            </w:r>
          </w:p>
        </w:tc>
        <w:tc>
          <w:tcPr>
            <w:tcW w:w="1400" w:type="dxa"/>
            <w:tcBorders>
              <w:top w:val="single" w:sz="1" w:space="0" w:color="BFBFBF"/>
              <w:left w:val="single" w:sz="1" w:space="0" w:color="BFBFBF"/>
              <w:bottom w:val="single" w:sz="1" w:space="0" w:color="BFBFBF"/>
              <w:right w:val="single" w:sz="1" w:space="0" w:color="BFBFBF"/>
            </w:tcBorders>
            <w:tcMar>
              <w:top w:w="90" w:type="dxa"/>
              <w:left w:w="140" w:type="dxa"/>
              <w:bottom w:w="90" w:type="dxa"/>
              <w:right w:w="140" w:type="dxa"/>
            </w:tcMar>
            <w:vAlign w:val="center"/>
          </w:tcPr>
          <w:p w14:paraId="1A6FF573" w14:textId="77777777" w:rsidR="0042783A" w:rsidRDefault="005C4193">
            <w:r>
              <w:rPr>
                <w:sz w:val="20"/>
                <w:szCs w:val="20"/>
              </w:rPr>
              <w:t>~$4–$7</w:t>
            </w:r>
          </w:p>
        </w:tc>
      </w:tr>
      <w:tr w:rsidR="0042783A" w14:paraId="02197A60" w14:textId="77777777" w:rsidTr="523849D8">
        <w:tblPrEx>
          <w:tblCellMar>
            <w:top w:w="0" w:type="dxa"/>
            <w:bottom w:w="0" w:type="dxa"/>
          </w:tblCellMar>
        </w:tblPrEx>
        <w:trPr>
          <w:cantSplit/>
        </w:trPr>
        <w:tc>
          <w:tcPr>
            <w:tcW w:w="1700" w:type="dxa"/>
            <w:tcBorders>
              <w:top w:val="single" w:sz="1" w:space="0" w:color="BFBFBF"/>
              <w:left w:val="single" w:sz="1" w:space="0" w:color="BFBFBF"/>
              <w:bottom w:val="single" w:sz="1" w:space="0" w:color="BFBFBF"/>
              <w:right w:val="single" w:sz="1" w:space="0" w:color="BFBFBF"/>
            </w:tcBorders>
            <w:shd w:val="clear" w:color="auto" w:fill="D9E2F3"/>
            <w:tcMar>
              <w:top w:w="90" w:type="dxa"/>
              <w:left w:w="140" w:type="dxa"/>
              <w:bottom w:w="90" w:type="dxa"/>
              <w:right w:w="140" w:type="dxa"/>
            </w:tcMar>
            <w:vAlign w:val="center"/>
          </w:tcPr>
          <w:p w14:paraId="73F2C544" w14:textId="77777777" w:rsidR="0042783A" w:rsidRDefault="005C4193">
            <w:r>
              <w:rPr>
                <w:b/>
                <w:bCs/>
                <w:sz w:val="20"/>
                <w:szCs w:val="20"/>
              </w:rPr>
              <w:t>Heavy</w:t>
            </w:r>
          </w:p>
        </w:tc>
        <w:tc>
          <w:tcPr>
            <w:tcW w:w="4760" w:type="dxa"/>
            <w:tcBorders>
              <w:top w:val="single" w:sz="1" w:space="0" w:color="BFBFBF"/>
              <w:left w:val="single" w:sz="1" w:space="0" w:color="BFBFBF"/>
              <w:bottom w:val="single" w:sz="1" w:space="0" w:color="BFBFBF"/>
              <w:right w:val="single" w:sz="1" w:space="0" w:color="BFBFBF"/>
            </w:tcBorders>
            <w:tcMar>
              <w:top w:w="90" w:type="dxa"/>
              <w:left w:w="140" w:type="dxa"/>
              <w:bottom w:w="90" w:type="dxa"/>
              <w:right w:w="140" w:type="dxa"/>
            </w:tcMar>
            <w:vAlign w:val="center"/>
          </w:tcPr>
          <w:p w14:paraId="45B7C3C9" w14:textId="77777777" w:rsidR="0042783A" w:rsidRDefault="523849D8">
            <w:r w:rsidRPr="523849D8">
              <w:rPr>
                <w:sz w:val="20"/>
                <w:szCs w:val="20"/>
              </w:rPr>
              <w:t>Broad aggregation, deep reasoning, many outputs (e.g. classifying months of data into a leadership report).</w:t>
            </w:r>
          </w:p>
        </w:tc>
        <w:tc>
          <w:tcPr>
            <w:tcW w:w="1500" w:type="dxa"/>
            <w:tcBorders>
              <w:top w:val="single" w:sz="1" w:space="0" w:color="BFBFBF"/>
              <w:left w:val="single" w:sz="1" w:space="0" w:color="BFBFBF"/>
              <w:bottom w:val="single" w:sz="1" w:space="0" w:color="BFBFBF"/>
              <w:right w:val="single" w:sz="1" w:space="0" w:color="BFBFBF"/>
            </w:tcBorders>
            <w:tcMar>
              <w:top w:w="90" w:type="dxa"/>
              <w:left w:w="140" w:type="dxa"/>
              <w:bottom w:w="90" w:type="dxa"/>
              <w:right w:w="140" w:type="dxa"/>
            </w:tcMar>
            <w:vAlign w:val="center"/>
          </w:tcPr>
          <w:p w14:paraId="6E0CDF3D" w14:textId="77777777" w:rsidR="0042783A" w:rsidRDefault="005C4193">
            <w:r>
              <w:rPr>
                <w:sz w:val="20"/>
                <w:szCs w:val="20"/>
              </w:rPr>
              <w:t>700+</w:t>
            </w:r>
          </w:p>
        </w:tc>
        <w:tc>
          <w:tcPr>
            <w:tcW w:w="1400" w:type="dxa"/>
            <w:tcBorders>
              <w:top w:val="single" w:sz="1" w:space="0" w:color="BFBFBF"/>
              <w:left w:val="single" w:sz="1" w:space="0" w:color="BFBFBF"/>
              <w:bottom w:val="single" w:sz="1" w:space="0" w:color="BFBFBF"/>
              <w:right w:val="single" w:sz="1" w:space="0" w:color="BFBFBF"/>
            </w:tcBorders>
            <w:tcMar>
              <w:top w:w="90" w:type="dxa"/>
              <w:left w:w="140" w:type="dxa"/>
              <w:bottom w:w="90" w:type="dxa"/>
              <w:right w:w="140" w:type="dxa"/>
            </w:tcMar>
            <w:vAlign w:val="center"/>
          </w:tcPr>
          <w:p w14:paraId="6BAD8605" w14:textId="77777777" w:rsidR="0042783A" w:rsidRDefault="005C4193">
            <w:r>
              <w:rPr>
                <w:sz w:val="20"/>
                <w:szCs w:val="20"/>
              </w:rPr>
              <w:t>~$7+</w:t>
            </w:r>
          </w:p>
        </w:tc>
      </w:tr>
    </w:tbl>
    <w:p w14:paraId="3A3B26FD" w14:textId="77777777" w:rsidR="0042783A" w:rsidRDefault="523849D8">
      <w:pPr>
        <w:spacing w:before="120" w:after="240"/>
      </w:pPr>
      <w:r w:rsidRPr="523849D8">
        <w:rPr>
          <w:color w:val="595959"/>
        </w:rPr>
        <w:t>Microsoft provides a Customer Cowork Estimator to model likely monthly usage for your organization by user persona.</w:t>
      </w:r>
    </w:p>
    <w:p w14:paraId="7FF824AD" w14:textId="77777777" w:rsidR="0042783A" w:rsidRDefault="005C4193">
      <w:pPr>
        <w:pStyle w:val="heading10"/>
      </w:pPr>
      <w:r>
        <w:t>7. How you stay in control</w:t>
      </w:r>
    </w:p>
    <w:p w14:paraId="472F4DAE" w14:textId="77777777" w:rsidR="0042783A" w:rsidRDefault="523849D8">
      <w:pPr>
        <w:spacing w:after="160"/>
      </w:pPr>
      <w:r w:rsidRPr="523849D8">
        <w:rPr>
          <w:color w:val="000000"/>
        </w:rPr>
        <w:t>Cost governance is built in. The same Cost Management dashboard used to enable Cowork gives administrators the tools to keep spending predictable:</w:t>
      </w:r>
    </w:p>
    <w:p w14:paraId="5521F2C4" w14:textId="77777777" w:rsidR="0042783A" w:rsidRDefault="523849D8">
      <w:pPr>
        <w:pStyle w:val="ListParagraph"/>
        <w:numPr>
          <w:ilvl w:val="0"/>
          <w:numId w:val="2"/>
        </w:numPr>
        <w:spacing w:after="90"/>
      </w:pPr>
      <w:r w:rsidRPr="523849D8">
        <w:rPr>
          <w:b/>
          <w:bCs/>
        </w:rPr>
        <w:t xml:space="preserve">Off by default — </w:t>
      </w:r>
      <w:r w:rsidRPr="523849D8">
        <w:t>Cowork ships disabled until an administrator deliberately turns it on for chosen users or groups.</w:t>
      </w:r>
    </w:p>
    <w:p w14:paraId="644A3024" w14:textId="77777777" w:rsidR="0042783A" w:rsidRDefault="005C4193">
      <w:pPr>
        <w:pStyle w:val="ListParagraph"/>
        <w:numPr>
          <w:ilvl w:val="0"/>
          <w:numId w:val="2"/>
        </w:numPr>
        <w:spacing w:after="90"/>
      </w:pPr>
      <w:r>
        <w:rPr>
          <w:b/>
          <w:bCs/>
        </w:rPr>
        <w:t xml:space="preserve">Spending limits — </w:t>
      </w:r>
      <w:r>
        <w:t>Set budgets and hard caps at the tenant, group, and individual-user levels.</w:t>
      </w:r>
    </w:p>
    <w:p w14:paraId="6D6013B7" w14:textId="77777777" w:rsidR="0042783A" w:rsidRDefault="005C4193">
      <w:pPr>
        <w:pStyle w:val="ListParagraph"/>
        <w:numPr>
          <w:ilvl w:val="0"/>
          <w:numId w:val="2"/>
        </w:numPr>
        <w:spacing w:after="90"/>
      </w:pPr>
      <w:r>
        <w:rPr>
          <w:b/>
          <w:bCs/>
        </w:rPr>
        <w:t xml:space="preserve">Alerts — </w:t>
      </w:r>
      <w:r>
        <w:t>Configure thresholds so the right people are notified before a budget is breached.</w:t>
      </w:r>
    </w:p>
    <w:p w14:paraId="3880D670" w14:textId="77777777" w:rsidR="0042783A" w:rsidRDefault="005C4193">
      <w:pPr>
        <w:pStyle w:val="ListParagraph"/>
        <w:numPr>
          <w:ilvl w:val="0"/>
          <w:numId w:val="2"/>
        </w:numPr>
        <w:spacing w:after="90"/>
      </w:pPr>
      <w:r>
        <w:rPr>
          <w:b/>
          <w:bCs/>
        </w:rPr>
        <w:t xml:space="preserve">Visibility — </w:t>
      </w:r>
      <w:r>
        <w:t>Track consumption by user, group, and feature to see exactly where credits are going.</w:t>
      </w:r>
    </w:p>
    <w:p w14:paraId="7D4DFB24" w14:textId="77777777" w:rsidR="0042783A" w:rsidRDefault="523849D8">
      <w:pPr>
        <w:pStyle w:val="ListParagraph"/>
        <w:numPr>
          <w:ilvl w:val="0"/>
          <w:numId w:val="2"/>
        </w:numPr>
        <w:spacing w:after="90"/>
      </w:pPr>
      <w:r w:rsidRPr="523849D8">
        <w:rPr>
          <w:b/>
          <w:bCs/>
        </w:rPr>
        <w:t xml:space="preserve">Approvals — </w:t>
      </w:r>
      <w:r w:rsidRPr="523849D8">
        <w:t>Decide who can approve additional credits when a user requests them.</w:t>
      </w:r>
    </w:p>
    <w:p w14:paraId="509F1031" w14:textId="77777777" w:rsidR="0042783A" w:rsidRDefault="523849D8" w:rsidP="523849D8">
      <w:pPr>
        <w:pBdr>
          <w:top w:val="single" w:sz="6" w:space="6" w:color="BFBFBF"/>
        </w:pBdr>
        <w:spacing w:before="300"/>
      </w:pPr>
      <w:r w:rsidRPr="523849D8">
        <w:rPr>
          <w:i/>
          <w:iCs/>
          <w:color w:val="595959"/>
          <w:sz w:val="16"/>
          <w:szCs w:val="16"/>
        </w:rPr>
        <w:t>Pricing figures are US list rates as of June 2026 and are subject to change. Confirm exact pricing, discounts, and invoice timing against your organization’s Microsoft agreement (e.g. Enterprise Agreement, MACC, or CSP). This guide is for planning purposes and does not constitute a quote.</w:t>
      </w:r>
    </w:p>
    <w:sectPr w:rsidR="0042783A">
      <w:foot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2FC85" w14:textId="77777777" w:rsidR="005C4193" w:rsidRDefault="005C4193">
      <w:r>
        <w:separator/>
      </w:r>
    </w:p>
  </w:endnote>
  <w:endnote w:type="continuationSeparator" w:id="0">
    <w:p w14:paraId="7B30170C" w14:textId="77777777" w:rsidR="005C4193" w:rsidRDefault="005C4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9A12E" w14:textId="77777777" w:rsidR="0042783A" w:rsidRDefault="523849D8" w:rsidP="523849D8">
    <w:pPr>
      <w:tabs>
        <w:tab w:val="right" w:pos="9360"/>
      </w:tabs>
    </w:pPr>
    <w:r w:rsidRPr="523849D8">
      <w:rPr>
        <w:color w:val="595959"/>
        <w:sz w:val="16"/>
        <w:szCs w:val="16"/>
      </w:rPr>
      <w:t xml:space="preserve">Microsoft 365 Copilot Cowork — Billing &amp; Cost ManagementPage </w:t>
    </w:r>
    <w:r w:rsidR="005C4193" w:rsidRPr="523849D8">
      <w:rPr>
        <w:color w:val="595959"/>
        <w:sz w:val="16"/>
        <w:szCs w:val="16"/>
      </w:rPr>
      <w:fldChar w:fldCharType="begin"/>
    </w:r>
    <w:r w:rsidR="005C4193" w:rsidRPr="523849D8">
      <w:rPr>
        <w:color w:val="595959"/>
        <w:sz w:val="16"/>
        <w:szCs w:val="16"/>
      </w:rPr>
      <w:instrText>PAGE</w:instrText>
    </w:r>
    <w:r w:rsidR="005C4193" w:rsidRPr="523849D8">
      <w:rPr>
        <w:color w:val="595959"/>
        <w:sz w:val="16"/>
        <w:szCs w:val="16"/>
      </w:rPr>
      <w:fldChar w:fldCharType="separate"/>
    </w:r>
    <w:r w:rsidR="005C4193" w:rsidRPr="523849D8">
      <w:rPr>
        <w:color w:val="59595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3B814" w14:textId="77777777" w:rsidR="005C4193" w:rsidRDefault="005C4193">
      <w:r>
        <w:separator/>
      </w:r>
    </w:p>
  </w:footnote>
  <w:footnote w:type="continuationSeparator" w:id="0">
    <w:p w14:paraId="53B95F6A" w14:textId="77777777" w:rsidR="005C4193" w:rsidRDefault="005C41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B0AD4"/>
    <w:multiLevelType w:val="hybridMultilevel"/>
    <w:tmpl w:val="FFFFFFFF"/>
    <w:lvl w:ilvl="0" w:tplc="B39A9232">
      <w:start w:val="1"/>
      <w:numFmt w:val="bullet"/>
      <w:lvlText w:val="•"/>
      <w:lvlJc w:val="left"/>
      <w:pPr>
        <w:ind w:left="540" w:hanging="280"/>
      </w:pPr>
    </w:lvl>
    <w:lvl w:ilvl="1" w:tplc="089A6146">
      <w:numFmt w:val="decimal"/>
      <w:lvlText w:val=""/>
      <w:lvlJc w:val="left"/>
    </w:lvl>
    <w:lvl w:ilvl="2" w:tplc="43626B4C">
      <w:numFmt w:val="decimal"/>
      <w:lvlText w:val=""/>
      <w:lvlJc w:val="left"/>
    </w:lvl>
    <w:lvl w:ilvl="3" w:tplc="9FC849D0">
      <w:numFmt w:val="decimal"/>
      <w:lvlText w:val=""/>
      <w:lvlJc w:val="left"/>
    </w:lvl>
    <w:lvl w:ilvl="4" w:tplc="2460D5BC">
      <w:numFmt w:val="decimal"/>
      <w:lvlText w:val=""/>
      <w:lvlJc w:val="left"/>
    </w:lvl>
    <w:lvl w:ilvl="5" w:tplc="44945FEC">
      <w:numFmt w:val="decimal"/>
      <w:lvlText w:val=""/>
      <w:lvlJc w:val="left"/>
    </w:lvl>
    <w:lvl w:ilvl="6" w:tplc="663099D2">
      <w:numFmt w:val="decimal"/>
      <w:lvlText w:val=""/>
      <w:lvlJc w:val="left"/>
    </w:lvl>
    <w:lvl w:ilvl="7" w:tplc="8F202596">
      <w:numFmt w:val="decimal"/>
      <w:lvlText w:val=""/>
      <w:lvlJc w:val="left"/>
    </w:lvl>
    <w:lvl w:ilvl="8" w:tplc="4EDCE198">
      <w:numFmt w:val="decimal"/>
      <w:lvlText w:val=""/>
      <w:lvlJc w:val="left"/>
    </w:lvl>
  </w:abstractNum>
  <w:abstractNum w:abstractNumId="1" w15:restartNumberingAfterBreak="0">
    <w:nsid w:val="5D08DFD7"/>
    <w:multiLevelType w:val="hybridMultilevel"/>
    <w:tmpl w:val="FFFFFFFF"/>
    <w:lvl w:ilvl="0" w:tplc="DCCE66EC">
      <w:start w:val="1"/>
      <w:numFmt w:val="bullet"/>
      <w:lvlText w:val="●"/>
      <w:lvlJc w:val="left"/>
      <w:pPr>
        <w:ind w:left="720" w:hanging="360"/>
      </w:pPr>
    </w:lvl>
    <w:lvl w:ilvl="1" w:tplc="CF0CA4F0">
      <w:start w:val="1"/>
      <w:numFmt w:val="bullet"/>
      <w:lvlText w:val="○"/>
      <w:lvlJc w:val="left"/>
      <w:pPr>
        <w:ind w:left="1440" w:hanging="360"/>
      </w:pPr>
    </w:lvl>
    <w:lvl w:ilvl="2" w:tplc="22BCD4D6">
      <w:start w:val="1"/>
      <w:numFmt w:val="bullet"/>
      <w:lvlText w:val="■"/>
      <w:lvlJc w:val="left"/>
      <w:pPr>
        <w:ind w:left="2160" w:hanging="360"/>
      </w:pPr>
    </w:lvl>
    <w:lvl w:ilvl="3" w:tplc="96860D68">
      <w:start w:val="1"/>
      <w:numFmt w:val="bullet"/>
      <w:lvlText w:val="●"/>
      <w:lvlJc w:val="left"/>
      <w:pPr>
        <w:ind w:left="2880" w:hanging="360"/>
      </w:pPr>
    </w:lvl>
    <w:lvl w:ilvl="4" w:tplc="9A5AD3BE">
      <w:start w:val="1"/>
      <w:numFmt w:val="bullet"/>
      <w:lvlText w:val="○"/>
      <w:lvlJc w:val="left"/>
      <w:pPr>
        <w:ind w:left="3600" w:hanging="360"/>
      </w:pPr>
    </w:lvl>
    <w:lvl w:ilvl="5" w:tplc="B7ACDA5C">
      <w:start w:val="1"/>
      <w:numFmt w:val="bullet"/>
      <w:lvlText w:val="■"/>
      <w:lvlJc w:val="left"/>
      <w:pPr>
        <w:ind w:left="4320" w:hanging="360"/>
      </w:pPr>
    </w:lvl>
    <w:lvl w:ilvl="6" w:tplc="86EEDFB4">
      <w:start w:val="1"/>
      <w:numFmt w:val="bullet"/>
      <w:lvlText w:val="●"/>
      <w:lvlJc w:val="left"/>
      <w:pPr>
        <w:ind w:left="5040" w:hanging="360"/>
      </w:pPr>
    </w:lvl>
    <w:lvl w:ilvl="7" w:tplc="A2447384">
      <w:start w:val="1"/>
      <w:numFmt w:val="bullet"/>
      <w:lvlText w:val="●"/>
      <w:lvlJc w:val="left"/>
      <w:pPr>
        <w:ind w:left="5760" w:hanging="360"/>
      </w:pPr>
    </w:lvl>
    <w:lvl w:ilvl="8" w:tplc="143A6FEC">
      <w:start w:val="1"/>
      <w:numFmt w:val="bullet"/>
      <w:lvlText w:val="●"/>
      <w:lvlJc w:val="left"/>
      <w:pPr>
        <w:ind w:left="6480" w:hanging="360"/>
      </w:pPr>
    </w:lvl>
  </w:abstractNum>
  <w:num w:numId="1" w16cid:durableId="273559829">
    <w:abstractNumId w:val="1"/>
    <w:lvlOverride w:ilvl="0">
      <w:startOverride w:val="1"/>
    </w:lvlOverride>
  </w:num>
  <w:num w:numId="2" w16cid:durableId="2314764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3849D8"/>
    <w:rsid w:val="0042783A"/>
    <w:rsid w:val="005C4193"/>
    <w:rsid w:val="00A90143"/>
    <w:rsid w:val="523849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B73769A"/>
  <w15:docId w15:val="{A005C150-35BF-453F-9FA6-A8F8985ED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heading10">
    <w:name w:val="heading 10"/>
    <w:qFormat/>
    <w:pPr>
      <w:spacing w:before="280" w:after="140"/>
      <w:outlineLvl w:val="0"/>
    </w:pPr>
    <w:rPr>
      <w:b/>
      <w:bCs/>
      <w:color w:val="1F3864"/>
      <w:sz w:val="26"/>
      <w:szCs w:val="26"/>
    </w:rPr>
  </w:style>
  <w:style w:type="paragraph" w:customStyle="1" w:styleId="heading20">
    <w:name w:val="heading 20"/>
    <w:qFormat/>
    <w:pPr>
      <w:spacing w:before="180" w:after="100"/>
      <w:outlineLvl w:val="1"/>
    </w:pPr>
    <w:rPr>
      <w:b/>
      <w:bCs/>
      <w:color w:val="2E75B6"/>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856</Words>
  <Characters>4883</Characters>
  <Application>Microsoft Office Word</Application>
  <DocSecurity>0</DocSecurity>
  <Lines>40</Lines>
  <Paragraphs>11</Paragraphs>
  <ScaleCrop>false</ScaleCrop>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365 Copilot Cowork — Billing &amp; Cost Management</dc:title>
  <dc:creator>Jordan King, Microsoft</dc:creator>
  <cp:lastModifiedBy>Jordan King</cp:lastModifiedBy>
  <cp:revision>2</cp:revision>
  <dcterms:created xsi:type="dcterms:W3CDTF">2026-06-25T22:15:00Z</dcterms:created>
  <dcterms:modified xsi:type="dcterms:W3CDTF">2026-06-25T22:15:00Z</dcterms:modified>
</cp:coreProperties>
</file>