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Quarterly Product Update</w:t>
      </w:r>
    </w:p>
    <w:p>
      <w:r>
        <w:t xml:space="preserve">The </w:t>
      </w:r>
      <w:r>
        <w:rPr>
          <w:b/>
        </w:rPr>
        <w:t>Falcon</w:t>
      </w:r>
      <w:r>
        <w:t xml:space="preserve"> release shipped on schedule and </w:t>
      </w:r>
      <w:r>
        <w:rPr>
          <w:i/>
        </w:rPr>
        <w:t>ahead</w:t>
      </w:r>
      <w:r>
        <w:t xml:space="preserve"> of the quality bar. This document is a DOCX fixture for verifying the Universal Document Converter.</w:t>
      </w:r>
    </w:p>
    <w:p>
      <w:pPr>
        <w:pStyle w:val="Heading2"/>
      </w:pPr>
      <w:r>
        <w:t>Highlights</w:t>
      </w:r>
    </w:p>
    <w:p>
      <w:pPr>
        <w:pStyle w:val="ListBullet"/>
      </w:pPr>
      <w:r>
        <w:t>Faster sync engine with delta-merge enabled by default</w:t>
      </w:r>
    </w:p>
    <w:p>
      <w:pPr>
        <w:pStyle w:val="ListBullet"/>
      </w:pPr>
      <w:r>
        <w:t>32% fewer support tickets month over month</w:t>
      </w:r>
    </w:p>
    <w:p>
      <w:pPr>
        <w:pStyle w:val="ListBullet"/>
      </w:pPr>
      <w:r>
        <w:t>New admin dashboard rolled out to all tenants</w:t>
      </w:r>
    </w:p>
    <w:p>
      <w:pPr>
        <w:pStyle w:val="Heading2"/>
      </w:pPr>
      <w:r>
        <w:t>Adoption by Region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Region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Active Users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Growth</w:t>
            </w:r>
          </w:p>
        </w:tc>
      </w:tr>
      <w:tr>
        <w:tc>
          <w:tcPr>
            <w:tcW w:type="dxa" w:w="2880"/>
          </w:tcPr>
          <w:p>
            <w:r>
              <w:rPr>
                <w:b w:val="0"/>
              </w:rPr>
              <w:t>Americas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12,400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+8%</w:t>
            </w:r>
          </w:p>
        </w:tc>
      </w:tr>
      <w:tr>
        <w:tc>
          <w:tcPr>
            <w:tcW w:type="dxa" w:w="2880"/>
          </w:tcPr>
          <w:p>
            <w:r>
              <w:rPr>
                <w:b w:val="0"/>
              </w:rPr>
              <w:t>EMEA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9,850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+12%</w:t>
            </w:r>
          </w:p>
        </w:tc>
      </w:tr>
      <w:tr>
        <w:tc>
          <w:tcPr>
            <w:tcW w:type="dxa" w:w="2880"/>
          </w:tcPr>
          <w:p>
            <w:r>
              <w:rPr>
                <w:b w:val="0"/>
              </w:rPr>
              <w:t>APAC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7,300</w:t>
            </w:r>
          </w:p>
        </w:tc>
        <w:tc>
          <w:tcPr>
            <w:tcW w:type="dxa" w:w="2880"/>
          </w:tcPr>
          <w:p>
            <w:r>
              <w:rPr>
                <w:b w:val="0"/>
              </w:rPr>
              <w:t>+21%</w:t>
            </w:r>
          </w:p>
        </w:tc>
      </w:tr>
    </w:tbl>
    <w:p>
      <w:pPr>
        <w:pStyle w:val="Heading2"/>
      </w:pPr>
      <w:r>
        <w:t>Rollout Steps</w:t>
      </w:r>
    </w:p>
    <w:p>
      <w:pPr>
        <w:pStyle w:val="ListNumber"/>
      </w:pPr>
      <w:r>
        <w:t>Enable the feature flag for pilot tenants</w:t>
      </w:r>
    </w:p>
    <w:p>
      <w:pPr>
        <w:pStyle w:val="ListNumber"/>
      </w:pPr>
      <w:r>
        <w:t>Monitor error budgets for one week</w:t>
      </w:r>
    </w:p>
    <w:p>
      <w:pPr>
        <w:pStyle w:val="ListNumber"/>
      </w:pPr>
      <w:r>
        <w:t>Expand to all tenants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